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1E5" w:rsidRDefault="003046E2" w:rsidP="003046E2">
      <w:pPr>
        <w:jc w:val="center"/>
        <w:rPr>
          <w:b/>
          <w:sz w:val="40"/>
          <w:szCs w:val="40"/>
        </w:rPr>
      </w:pPr>
      <w:r>
        <w:rPr>
          <w:b/>
          <w:sz w:val="40"/>
          <w:szCs w:val="40"/>
        </w:rPr>
        <w:t>Thread Cross Reference</w:t>
      </w:r>
    </w:p>
    <w:p w:rsidR="003046E2" w:rsidRDefault="003046E2" w:rsidP="003046E2">
      <w:pPr>
        <w:jc w:val="center"/>
        <w:rPr>
          <w:b/>
          <w:sz w:val="40"/>
          <w:szCs w:val="40"/>
        </w:rPr>
      </w:pPr>
    </w:p>
    <w:p w:rsidR="003046E2" w:rsidRDefault="003046E2" w:rsidP="003046E2">
      <w:pPr>
        <w:widowControl w:val="0"/>
        <w:autoSpaceDE w:val="0"/>
        <w:autoSpaceDN w:val="0"/>
        <w:adjustRightInd w:val="0"/>
        <w:spacing w:after="180"/>
        <w:jc w:val="center"/>
        <w:rPr>
          <w:rFonts w:ascii="Arial" w:hAnsi="Arial" w:cs="Arial"/>
          <w:color w:val="262626"/>
        </w:rPr>
      </w:pPr>
      <w:r>
        <w:rPr>
          <w:rFonts w:ascii="Arial" w:hAnsi="Arial" w:cs="Arial"/>
          <w:b/>
          <w:bCs/>
          <w:color w:val="FB0007"/>
          <w:sz w:val="32"/>
          <w:szCs w:val="32"/>
        </w:rPr>
        <w:t>Thread Standards</w:t>
      </w:r>
    </w:p>
    <w:p w:rsidR="003046E2" w:rsidRPr="003046E2" w:rsidRDefault="003046E2" w:rsidP="003046E2">
      <w:pPr>
        <w:widowControl w:val="0"/>
        <w:autoSpaceDE w:val="0"/>
        <w:autoSpaceDN w:val="0"/>
        <w:adjustRightInd w:val="0"/>
        <w:spacing w:after="180"/>
        <w:rPr>
          <w:rFonts w:ascii="Arial" w:hAnsi="Arial" w:cs="Arial"/>
          <w:color w:val="262626"/>
          <w:sz w:val="16"/>
          <w:szCs w:val="16"/>
        </w:rPr>
      </w:pPr>
      <w:r w:rsidRPr="003046E2">
        <w:rPr>
          <w:rFonts w:ascii="Arial" w:hAnsi="Arial" w:cs="Arial"/>
          <w:color w:val="262626"/>
          <w:sz w:val="16"/>
          <w:szCs w:val="16"/>
        </w:rPr>
        <w:t>When attaching two threaded devices together, there are a number o</w:t>
      </w:r>
      <w:r>
        <w:rPr>
          <w:rFonts w:ascii="Arial" w:hAnsi="Arial" w:cs="Arial"/>
          <w:color w:val="262626"/>
          <w:sz w:val="16"/>
          <w:szCs w:val="16"/>
        </w:rPr>
        <w:t>f factors that come into play, t</w:t>
      </w:r>
      <w:r w:rsidRPr="003046E2">
        <w:rPr>
          <w:rFonts w:ascii="Arial" w:hAnsi="Arial" w:cs="Arial"/>
          <w:color w:val="262626"/>
          <w:sz w:val="16"/>
          <w:szCs w:val="16"/>
        </w:rPr>
        <w:t>he critical ones are size, thread standard and gender. Material composition is also a factor -- aluminum, brass, copper, plastic, iron, galvanized, etc. In fire fighting, coupling devices are mainly aluminum or brass. Plastic is not common but can be used selectively. Galvanized and iron should be avoided due to the rusting factor. Typically, copper is not used in firefighting systems.</w:t>
      </w:r>
    </w:p>
    <w:p w:rsidR="003046E2" w:rsidRPr="003046E2" w:rsidRDefault="003046E2" w:rsidP="003046E2">
      <w:pPr>
        <w:widowControl w:val="0"/>
        <w:autoSpaceDE w:val="0"/>
        <w:autoSpaceDN w:val="0"/>
        <w:adjustRightInd w:val="0"/>
        <w:spacing w:after="180"/>
        <w:rPr>
          <w:rFonts w:ascii="Arial" w:hAnsi="Arial" w:cs="Arial"/>
          <w:color w:val="262626"/>
          <w:sz w:val="16"/>
          <w:szCs w:val="16"/>
        </w:rPr>
      </w:pPr>
      <w:r w:rsidRPr="003046E2">
        <w:rPr>
          <w:rFonts w:ascii="Arial" w:hAnsi="Arial" w:cs="Arial"/>
          <w:color w:val="262626"/>
          <w:sz w:val="16"/>
          <w:szCs w:val="16"/>
        </w:rPr>
        <w:t xml:space="preserve">When talking threads, you will encounter numerous types or systems. Generally speaking, NPSH is used in Canada for the smaller hoses (1" &amp; 1½") with NST (NH) used in USA. Forestry applications typically use NPSH or quarter turn quick connect </w:t>
      </w:r>
      <w:r w:rsidRPr="003046E2">
        <w:rPr>
          <w:rFonts w:ascii="Arial" w:hAnsi="Arial" w:cs="Arial"/>
          <w:color w:val="262626"/>
          <w:sz w:val="16"/>
          <w:szCs w:val="16"/>
        </w:rPr>
        <w:t>fittings. The</w:t>
      </w:r>
      <w:r w:rsidRPr="003046E2">
        <w:rPr>
          <w:rFonts w:ascii="Arial" w:hAnsi="Arial" w:cs="Arial"/>
          <w:color w:val="262626"/>
          <w:sz w:val="16"/>
          <w:szCs w:val="16"/>
        </w:rPr>
        <w:t xml:space="preserve"> charts below will outline characteristics of various thread standards.</w:t>
      </w:r>
    </w:p>
    <w:tbl>
      <w:tblPr>
        <w:tblW w:w="0" w:type="auto"/>
        <w:tblBorders>
          <w:top w:val="nil"/>
          <w:left w:val="nil"/>
          <w:right w:val="nil"/>
        </w:tblBorders>
        <w:tblLayout w:type="fixed"/>
        <w:tblLook w:val="0000" w:firstRow="0" w:lastRow="0" w:firstColumn="0" w:lastColumn="0" w:noHBand="0" w:noVBand="0"/>
      </w:tblPr>
      <w:tblGrid>
        <w:gridCol w:w="1480"/>
        <w:gridCol w:w="5200"/>
        <w:gridCol w:w="1760"/>
        <w:gridCol w:w="6520"/>
      </w:tblGrid>
      <w:tr w:rsidR="003046E2">
        <w:tblPrEx>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FB0007"/>
                <w:sz w:val="16"/>
                <w:szCs w:val="16"/>
              </w:rPr>
              <w:t>THREAD</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FB0007"/>
                <w:sz w:val="16"/>
                <w:szCs w:val="16"/>
              </w:rPr>
              <w:t>SYSTEM NAME</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rPr>
                <w:rFonts w:ascii="Arial" w:hAnsi="Arial" w:cs="Arial"/>
                <w:color w:val="262626"/>
                <w:sz w:val="16"/>
                <w:szCs w:val="16"/>
              </w:rPr>
            </w:pPr>
            <w:r w:rsidRPr="003046E2">
              <w:rPr>
                <w:rFonts w:ascii="Arial" w:hAnsi="Arial" w:cs="Arial"/>
                <w:b/>
                <w:bCs/>
                <w:color w:val="FB0007"/>
                <w:sz w:val="16"/>
                <w:szCs w:val="16"/>
              </w:rPr>
              <w:t>SEAL METHOD</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FB0007"/>
                <w:sz w:val="16"/>
                <w:szCs w:val="16"/>
              </w:rPr>
              <w:t>THREAD COMPATIBILITY </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NPT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American Standard Taper Pipe Thread </w:t>
            </w:r>
            <w:r w:rsidRPr="003046E2">
              <w:rPr>
                <w:rFonts w:ascii="Arial" w:hAnsi="Arial" w:cs="Arial"/>
                <w:color w:val="274EC0"/>
                <w:sz w:val="16"/>
                <w:szCs w:val="16"/>
              </w:rPr>
              <w:t>(National Pipe Tapered)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Thread Seal or</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r w:rsidRPr="003046E2">
              <w:rPr>
                <w:rFonts w:ascii="Arial" w:hAnsi="Arial" w:cs="Arial"/>
                <w:color w:val="FB0007"/>
                <w:sz w:val="16"/>
                <w:szCs w:val="16"/>
              </w:rPr>
              <w:t>*</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NPT - </w:t>
            </w:r>
            <w:r w:rsidRPr="003046E2">
              <w:rPr>
                <w:rFonts w:ascii="Arial" w:hAnsi="Arial" w:cs="Arial"/>
                <w:i/>
                <w:iCs/>
                <w:color w:val="262626"/>
                <w:sz w:val="16"/>
                <w:szCs w:val="16"/>
              </w:rPr>
              <w:t>Female</w:t>
            </w:r>
            <w:r w:rsidRPr="003046E2">
              <w:rPr>
                <w:rFonts w:ascii="Arial" w:hAnsi="Arial" w:cs="Arial"/>
                <w:color w:val="262626"/>
                <w:sz w:val="16"/>
                <w:szCs w:val="16"/>
              </w:rPr>
              <w:t xml:space="preserve"> NPT, NPTF, NPSM</w:t>
            </w:r>
            <w:r w:rsidRPr="003046E2">
              <w:rPr>
                <w:rFonts w:ascii="Arial" w:hAnsi="Arial" w:cs="Arial"/>
                <w:color w:val="FB0007"/>
                <w:sz w:val="16"/>
                <w:szCs w:val="16"/>
              </w:rPr>
              <w:t>*</w:t>
            </w:r>
            <w:r w:rsidRPr="003046E2">
              <w:rPr>
                <w:rFonts w:ascii="Arial" w:hAnsi="Arial" w:cs="Arial"/>
                <w:color w:val="262626"/>
                <w:sz w:val="16"/>
                <w:szCs w:val="16"/>
              </w:rPr>
              <w:t xml:space="preserve">, NPSH </w:t>
            </w:r>
            <w:r w:rsidRPr="003046E2">
              <w:rPr>
                <w:rFonts w:ascii="Arial" w:hAnsi="Arial" w:cs="Arial"/>
                <w:color w:val="FB0007"/>
                <w:sz w:val="16"/>
                <w:szCs w:val="16"/>
              </w:rPr>
              <w: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NPT - </w:t>
            </w:r>
            <w:r w:rsidRPr="003046E2">
              <w:rPr>
                <w:rFonts w:ascii="Arial" w:hAnsi="Arial" w:cs="Arial"/>
                <w:i/>
                <w:iCs/>
                <w:color w:val="262626"/>
                <w:sz w:val="16"/>
                <w:szCs w:val="16"/>
              </w:rPr>
              <w:t>Male</w:t>
            </w:r>
            <w:r w:rsidRPr="003046E2">
              <w:rPr>
                <w:rFonts w:ascii="Arial" w:hAnsi="Arial" w:cs="Arial"/>
                <w:color w:val="262626"/>
                <w:sz w:val="16"/>
                <w:szCs w:val="16"/>
              </w:rPr>
              <w:t xml:space="preserve"> NPT, NPTF</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NPSH</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American Standard Straight Pipe for Hose Couplings </w:t>
            </w:r>
            <w:r w:rsidRPr="003046E2">
              <w:rPr>
                <w:rFonts w:ascii="Arial" w:hAnsi="Arial" w:cs="Arial"/>
                <w:color w:val="274EC0"/>
                <w:sz w:val="16"/>
                <w:szCs w:val="16"/>
              </w:rPr>
              <w:t>(National Pipe Straight Hose)</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NPSH - </w:t>
            </w:r>
            <w:r w:rsidRPr="003046E2">
              <w:rPr>
                <w:rFonts w:ascii="Arial" w:hAnsi="Arial" w:cs="Arial"/>
                <w:i/>
                <w:iCs/>
                <w:color w:val="262626"/>
                <w:sz w:val="16"/>
                <w:szCs w:val="16"/>
              </w:rPr>
              <w:t>Female</w:t>
            </w:r>
            <w:r w:rsidRPr="003046E2">
              <w:rPr>
                <w:rFonts w:ascii="Arial" w:hAnsi="Arial" w:cs="Arial"/>
                <w:color w:val="262626"/>
                <w:sz w:val="16"/>
                <w:szCs w:val="16"/>
              </w:rPr>
              <w:t xml:space="preserve"> NPSH, NPSM</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NPSH - </w:t>
            </w:r>
            <w:r w:rsidRPr="003046E2">
              <w:rPr>
                <w:rFonts w:ascii="Arial" w:hAnsi="Arial" w:cs="Arial"/>
                <w:i/>
                <w:iCs/>
                <w:color w:val="262626"/>
                <w:sz w:val="16"/>
                <w:szCs w:val="16"/>
              </w:rPr>
              <w:t>Male</w:t>
            </w:r>
            <w:r w:rsidRPr="003046E2">
              <w:rPr>
                <w:rFonts w:ascii="Arial" w:hAnsi="Arial" w:cs="Arial"/>
                <w:color w:val="262626"/>
                <w:sz w:val="16"/>
                <w:szCs w:val="16"/>
              </w:rPr>
              <w:t xml:space="preserve"> NPSH, NPT, NPTF, NPSM</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NH or NST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American Standard Fire Hose Coupling Thread </w:t>
            </w:r>
            <w:r w:rsidRPr="003046E2">
              <w:rPr>
                <w:rFonts w:ascii="Arial" w:hAnsi="Arial" w:cs="Arial"/>
                <w:color w:val="274EC0"/>
                <w:sz w:val="16"/>
                <w:szCs w:val="16"/>
              </w:rPr>
              <w:t>(National Hose Thread also known as National Standard Thread)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NH (NST)- Female </w:t>
            </w:r>
            <w:proofErr w:type="gramStart"/>
            <w:r w:rsidRPr="003046E2">
              <w:rPr>
                <w:rFonts w:ascii="Arial" w:hAnsi="Arial" w:cs="Arial"/>
                <w:color w:val="262626"/>
                <w:sz w:val="16"/>
                <w:szCs w:val="16"/>
              </w:rPr>
              <w:t>NH(</w:t>
            </w:r>
            <w:proofErr w:type="gramEnd"/>
            <w:r w:rsidRPr="003046E2">
              <w:rPr>
                <w:rFonts w:ascii="Arial" w:hAnsi="Arial" w:cs="Arial"/>
                <w:color w:val="262626"/>
                <w:sz w:val="16"/>
                <w:szCs w:val="16"/>
              </w:rPr>
              <w:t>NST)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Female NH (NST)- Male NH (NST)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i/>
                <w:iCs/>
                <w:color w:val="274EC0"/>
                <w:sz w:val="16"/>
                <w:szCs w:val="16"/>
              </w:rPr>
              <w:t>Not compatible with other systems. Thread pitch and diameters of fire threads may vary according to local and municipal regulations.</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GHT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Garden Hose Thread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GHT - </w:t>
            </w:r>
            <w:r w:rsidRPr="003046E2">
              <w:rPr>
                <w:rFonts w:ascii="Arial" w:hAnsi="Arial" w:cs="Arial"/>
                <w:i/>
                <w:iCs/>
                <w:color w:val="262626"/>
                <w:sz w:val="16"/>
                <w:szCs w:val="16"/>
              </w:rPr>
              <w:t>Female</w:t>
            </w:r>
            <w:r w:rsidRPr="003046E2">
              <w:rPr>
                <w:rFonts w:ascii="Arial" w:hAnsi="Arial" w:cs="Arial"/>
                <w:color w:val="262626"/>
                <w:sz w:val="16"/>
                <w:szCs w:val="16"/>
              </w:rPr>
              <w:t xml:space="preserve"> GHT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GHT - </w:t>
            </w:r>
            <w:r w:rsidRPr="003046E2">
              <w:rPr>
                <w:rFonts w:ascii="Arial" w:hAnsi="Arial" w:cs="Arial"/>
                <w:i/>
                <w:iCs/>
                <w:color w:val="262626"/>
                <w:sz w:val="16"/>
                <w:szCs w:val="16"/>
              </w:rPr>
              <w:t>Male</w:t>
            </w:r>
            <w:r w:rsidRPr="003046E2">
              <w:rPr>
                <w:rFonts w:ascii="Arial" w:hAnsi="Arial" w:cs="Arial"/>
                <w:color w:val="262626"/>
                <w:sz w:val="16"/>
                <w:szCs w:val="16"/>
              </w:rPr>
              <w:t xml:space="preserve"> GHT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i/>
                <w:iCs/>
                <w:color w:val="274EC0"/>
                <w:sz w:val="16"/>
                <w:szCs w:val="16"/>
              </w:rPr>
              <w:t xml:space="preserve">Not </w:t>
            </w:r>
            <w:proofErr w:type="spellStart"/>
            <w:r w:rsidRPr="003046E2">
              <w:rPr>
                <w:rFonts w:ascii="Arial" w:hAnsi="Arial" w:cs="Arial"/>
                <w:i/>
                <w:iCs/>
                <w:color w:val="274EC0"/>
                <w:sz w:val="16"/>
                <w:szCs w:val="16"/>
              </w:rPr>
              <w:t>compatable</w:t>
            </w:r>
            <w:proofErr w:type="spellEnd"/>
            <w:r w:rsidRPr="003046E2">
              <w:rPr>
                <w:rFonts w:ascii="Arial" w:hAnsi="Arial" w:cs="Arial"/>
                <w:i/>
                <w:iCs/>
                <w:color w:val="274EC0"/>
                <w:sz w:val="16"/>
                <w:szCs w:val="16"/>
              </w:rPr>
              <w:t xml:space="preserve"> with other systems.</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NPTF</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American Standard Taper Pipe Fuel Dry Seal Thread </w:t>
            </w:r>
            <w:r w:rsidRPr="003046E2">
              <w:rPr>
                <w:rFonts w:ascii="Arial" w:hAnsi="Arial" w:cs="Arial"/>
                <w:color w:val="274EC0"/>
                <w:sz w:val="16"/>
                <w:szCs w:val="16"/>
              </w:rPr>
              <w:t>(National Pipe Tapered)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Thread Seal or</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r w:rsidRPr="003046E2">
              <w:rPr>
                <w:rFonts w:ascii="Arial" w:hAnsi="Arial" w:cs="Arial"/>
                <w:color w:val="FB0007"/>
                <w:sz w:val="16"/>
                <w:szCs w:val="16"/>
              </w:rPr>
              <w:t>*</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NPTF - </w:t>
            </w:r>
            <w:r w:rsidRPr="003046E2">
              <w:rPr>
                <w:rFonts w:ascii="Arial" w:hAnsi="Arial" w:cs="Arial"/>
                <w:i/>
                <w:iCs/>
                <w:color w:val="262626"/>
                <w:sz w:val="16"/>
                <w:szCs w:val="16"/>
              </w:rPr>
              <w:t>Female</w:t>
            </w:r>
            <w:r w:rsidRPr="003046E2">
              <w:rPr>
                <w:rFonts w:ascii="Arial" w:hAnsi="Arial" w:cs="Arial"/>
                <w:color w:val="262626"/>
                <w:sz w:val="16"/>
                <w:szCs w:val="16"/>
              </w:rPr>
              <w:t xml:space="preserve"> NPTF, NPT, NPSM</w:t>
            </w:r>
            <w:r w:rsidRPr="003046E2">
              <w:rPr>
                <w:rFonts w:ascii="Arial" w:hAnsi="Arial" w:cs="Arial"/>
                <w:color w:val="FB0007"/>
                <w:sz w:val="16"/>
                <w:szCs w:val="16"/>
              </w:rPr>
              <w:t>*</w:t>
            </w:r>
            <w:r w:rsidRPr="003046E2">
              <w:rPr>
                <w:rFonts w:ascii="Arial" w:hAnsi="Arial" w:cs="Arial"/>
                <w:color w:val="262626"/>
                <w:sz w:val="16"/>
                <w:szCs w:val="16"/>
              </w:rPr>
              <w:t>, NPSH</w:t>
            </w:r>
            <w:r w:rsidRPr="003046E2">
              <w:rPr>
                <w:rFonts w:ascii="Arial" w:hAnsi="Arial" w:cs="Arial"/>
                <w:color w:val="FB0007"/>
                <w:sz w:val="16"/>
                <w:szCs w:val="16"/>
              </w:rPr>
              <w: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NPTF - </w:t>
            </w:r>
            <w:r w:rsidRPr="003046E2">
              <w:rPr>
                <w:rFonts w:ascii="Arial" w:hAnsi="Arial" w:cs="Arial"/>
                <w:i/>
                <w:iCs/>
                <w:color w:val="262626"/>
                <w:sz w:val="16"/>
                <w:szCs w:val="16"/>
              </w:rPr>
              <w:t>Male</w:t>
            </w:r>
            <w:r w:rsidRPr="003046E2">
              <w:rPr>
                <w:rFonts w:ascii="Arial" w:hAnsi="Arial" w:cs="Arial"/>
                <w:color w:val="262626"/>
                <w:sz w:val="16"/>
                <w:szCs w:val="16"/>
              </w:rPr>
              <w:t xml:space="preserve"> NPTF, NPT</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IPS</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Iron Pipe Straight Thread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Generic Name for Straight Pipe Thread (NPSH)</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IPT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Iron Pipe Thread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Generic Name for All Pipe Thread</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i/>
                <w:iCs/>
                <w:color w:val="274EC0"/>
                <w:sz w:val="16"/>
                <w:szCs w:val="16"/>
              </w:rPr>
              <w:t>More information is needed.</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TIPT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Tapered Iron Pipe Thread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Thread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Generic Name for Tapered Pipe Thread (NPT)</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CHT</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C</w:t>
            </w:r>
            <w:r w:rsidRPr="003046E2">
              <w:rPr>
                <w:rFonts w:ascii="Arial" w:hAnsi="Arial" w:cs="Arial"/>
                <w:color w:val="262626"/>
                <w:sz w:val="16"/>
                <w:szCs w:val="16"/>
              </w:rPr>
              <w:t xml:space="preserve">hemical </w:t>
            </w:r>
            <w:r w:rsidRPr="003046E2">
              <w:rPr>
                <w:rFonts w:ascii="Arial" w:hAnsi="Arial" w:cs="Arial"/>
                <w:b/>
                <w:bCs/>
                <w:color w:val="262626"/>
                <w:sz w:val="16"/>
                <w:szCs w:val="16"/>
              </w:rPr>
              <w:t>H</w:t>
            </w:r>
            <w:r w:rsidRPr="003046E2">
              <w:rPr>
                <w:rFonts w:ascii="Arial" w:hAnsi="Arial" w:cs="Arial"/>
                <w:color w:val="262626"/>
                <w:sz w:val="16"/>
                <w:szCs w:val="16"/>
              </w:rPr>
              <w:t xml:space="preserve">ose </w:t>
            </w:r>
            <w:r w:rsidRPr="003046E2">
              <w:rPr>
                <w:rFonts w:ascii="Arial" w:hAnsi="Arial" w:cs="Arial"/>
                <w:b/>
                <w:bCs/>
                <w:color w:val="262626"/>
                <w:sz w:val="16"/>
                <w:szCs w:val="16"/>
              </w:rPr>
              <w:t>T</w:t>
            </w:r>
            <w:r w:rsidRPr="003046E2">
              <w:rPr>
                <w:rFonts w:ascii="Arial" w:hAnsi="Arial" w:cs="Arial"/>
                <w:color w:val="262626"/>
                <w:sz w:val="16"/>
                <w:szCs w:val="16"/>
              </w:rPr>
              <w:t>hread</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t>
            </w:r>
            <w:proofErr w:type="gramStart"/>
            <w:r w:rsidRPr="003046E2">
              <w:rPr>
                <w:rFonts w:ascii="Arial" w:hAnsi="Arial" w:cs="Arial"/>
                <w:color w:val="262626"/>
                <w:sz w:val="16"/>
                <w:szCs w:val="16"/>
              </w:rPr>
              <w:t>also</w:t>
            </w:r>
            <w:proofErr w:type="gramEnd"/>
            <w:r w:rsidRPr="003046E2">
              <w:rPr>
                <w:rFonts w:ascii="Arial" w:hAnsi="Arial" w:cs="Arial"/>
                <w:color w:val="262626"/>
                <w:sz w:val="16"/>
                <w:szCs w:val="16"/>
              </w:rPr>
              <w:t xml:space="preserve"> known as Booster Hose Thread). Same as 1" National Hose Thread (NH) or American Standard Fire Hose Thread (NST)</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1" Male NH (NST) with 1" Female NH (NST)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1" Female NH (NST) with 1" Male NH (NST)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1" Thread is used on both ¾" hose and 1" hose.</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i/>
                <w:iCs/>
                <w:color w:val="274EC0"/>
                <w:sz w:val="16"/>
                <w:szCs w:val="16"/>
              </w:rPr>
              <w:t>Not compatible with other systems</w:t>
            </w:r>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b/>
                <w:bCs/>
                <w:color w:val="262626"/>
                <w:sz w:val="16"/>
                <w:szCs w:val="16"/>
              </w:rPr>
              <w:t>BSPP</w:t>
            </w:r>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British Standard Pipe Parallel</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BSPP - </w:t>
            </w:r>
            <w:r w:rsidRPr="003046E2">
              <w:rPr>
                <w:rFonts w:ascii="Arial" w:hAnsi="Arial" w:cs="Arial"/>
                <w:i/>
                <w:iCs/>
                <w:color w:val="262626"/>
                <w:sz w:val="16"/>
                <w:szCs w:val="16"/>
              </w:rPr>
              <w:t>Female</w:t>
            </w:r>
            <w:r w:rsidRPr="003046E2">
              <w:rPr>
                <w:rFonts w:ascii="Arial" w:hAnsi="Arial" w:cs="Arial"/>
                <w:color w:val="262626"/>
                <w:sz w:val="16"/>
                <w:szCs w:val="16"/>
              </w:rPr>
              <w:t xml:space="preserve"> BSPP</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BSPP - </w:t>
            </w:r>
            <w:r w:rsidRPr="003046E2">
              <w:rPr>
                <w:rFonts w:ascii="Arial" w:hAnsi="Arial" w:cs="Arial"/>
                <w:i/>
                <w:iCs/>
                <w:color w:val="262626"/>
                <w:sz w:val="16"/>
                <w:szCs w:val="16"/>
              </w:rPr>
              <w:t>Male</w:t>
            </w:r>
            <w:r w:rsidRPr="003046E2">
              <w:rPr>
                <w:rFonts w:ascii="Arial" w:hAnsi="Arial" w:cs="Arial"/>
                <w:color w:val="262626"/>
                <w:sz w:val="16"/>
                <w:szCs w:val="16"/>
              </w:rPr>
              <w:t xml:space="preserve"> BSPP</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BSPP - </w:t>
            </w:r>
            <w:r w:rsidRPr="003046E2">
              <w:rPr>
                <w:rFonts w:ascii="Arial" w:hAnsi="Arial" w:cs="Arial"/>
                <w:i/>
                <w:iCs/>
                <w:color w:val="262626"/>
                <w:sz w:val="16"/>
                <w:szCs w:val="16"/>
              </w:rPr>
              <w:t>Male</w:t>
            </w:r>
            <w:r w:rsidRPr="003046E2">
              <w:rPr>
                <w:rFonts w:ascii="Arial" w:hAnsi="Arial" w:cs="Arial"/>
                <w:color w:val="262626"/>
                <w:sz w:val="16"/>
                <w:szCs w:val="16"/>
              </w:rPr>
              <w:t xml:space="preserve"> </w:t>
            </w:r>
            <w:proofErr w:type="spellStart"/>
            <w:r w:rsidRPr="003046E2">
              <w:rPr>
                <w:rFonts w:ascii="Arial" w:hAnsi="Arial" w:cs="Arial"/>
                <w:color w:val="262626"/>
                <w:sz w:val="16"/>
                <w:szCs w:val="16"/>
              </w:rPr>
              <w:t>BSPTr</w:t>
            </w:r>
            <w:proofErr w:type="spellEnd"/>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M-BSPP not compatible /w F-</w:t>
            </w:r>
            <w:proofErr w:type="spellStart"/>
            <w:r w:rsidRPr="003046E2">
              <w:rPr>
                <w:rFonts w:ascii="Arial" w:hAnsi="Arial" w:cs="Arial"/>
                <w:color w:val="262626"/>
                <w:sz w:val="16"/>
                <w:szCs w:val="16"/>
              </w:rPr>
              <w:t>BSPTr</w:t>
            </w:r>
            <w:proofErr w:type="spellEnd"/>
          </w:p>
        </w:tc>
      </w:tr>
      <w:tr w:rsidR="003046E2">
        <w:tblPrEx>
          <w:tblBorders>
            <w:top w:val="none" w:sz="0" w:space="0" w:color="auto"/>
          </w:tblBorders>
          <w:tblCellMar>
            <w:top w:w="0" w:type="dxa"/>
            <w:bottom w:w="0" w:type="dxa"/>
          </w:tblCellMar>
        </w:tblPrEx>
        <w:tc>
          <w:tcPr>
            <w:tcW w:w="148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proofErr w:type="spellStart"/>
            <w:r w:rsidRPr="003046E2">
              <w:rPr>
                <w:rFonts w:ascii="Arial" w:hAnsi="Arial" w:cs="Arial"/>
                <w:b/>
                <w:bCs/>
                <w:color w:val="262626"/>
                <w:sz w:val="16"/>
                <w:szCs w:val="16"/>
              </w:rPr>
              <w:t>BSPTr</w:t>
            </w:r>
            <w:proofErr w:type="spellEnd"/>
          </w:p>
        </w:tc>
        <w:tc>
          <w:tcPr>
            <w:tcW w:w="52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British Standard Pipe Tapered</w:t>
            </w:r>
          </w:p>
        </w:tc>
        <w:tc>
          <w:tcPr>
            <w:tcW w:w="176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Thread Seal or</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Washer Seal</w:t>
            </w:r>
            <w:r w:rsidRPr="003046E2">
              <w:rPr>
                <w:rFonts w:ascii="Arial" w:hAnsi="Arial" w:cs="Arial"/>
                <w:color w:val="FB0007"/>
                <w:sz w:val="16"/>
                <w:szCs w:val="16"/>
              </w:rPr>
              <w:t>*</w:t>
            </w:r>
          </w:p>
        </w:tc>
        <w:tc>
          <w:tcPr>
            <w:tcW w:w="6400" w:type="dxa"/>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Male </w:t>
            </w:r>
            <w:proofErr w:type="spellStart"/>
            <w:r w:rsidRPr="003046E2">
              <w:rPr>
                <w:rFonts w:ascii="Arial" w:hAnsi="Arial" w:cs="Arial"/>
                <w:color w:val="262626"/>
                <w:sz w:val="16"/>
                <w:szCs w:val="16"/>
              </w:rPr>
              <w:t>BSPTr</w:t>
            </w:r>
            <w:proofErr w:type="spellEnd"/>
            <w:r w:rsidRPr="003046E2">
              <w:rPr>
                <w:rFonts w:ascii="Arial" w:hAnsi="Arial" w:cs="Arial"/>
                <w:color w:val="262626"/>
                <w:sz w:val="16"/>
                <w:szCs w:val="16"/>
              </w:rPr>
              <w:t xml:space="preserve"> - </w:t>
            </w:r>
            <w:r w:rsidRPr="003046E2">
              <w:rPr>
                <w:rFonts w:ascii="Arial" w:hAnsi="Arial" w:cs="Arial"/>
                <w:i/>
                <w:iCs/>
                <w:color w:val="262626"/>
                <w:sz w:val="16"/>
                <w:szCs w:val="16"/>
              </w:rPr>
              <w:t>Female</w:t>
            </w:r>
            <w:r w:rsidRPr="003046E2">
              <w:rPr>
                <w:rFonts w:ascii="Arial" w:hAnsi="Arial" w:cs="Arial"/>
                <w:color w:val="262626"/>
                <w:sz w:val="16"/>
                <w:szCs w:val="16"/>
              </w:rPr>
              <w:t xml:space="preserve"> </w:t>
            </w:r>
            <w:proofErr w:type="spellStart"/>
            <w:r w:rsidRPr="003046E2">
              <w:rPr>
                <w:rFonts w:ascii="Arial" w:hAnsi="Arial" w:cs="Arial"/>
                <w:color w:val="262626"/>
                <w:sz w:val="16"/>
                <w:szCs w:val="16"/>
              </w:rPr>
              <w:t>BSPTr</w:t>
            </w:r>
            <w:proofErr w:type="spellEnd"/>
            <w:r w:rsidRPr="003046E2">
              <w:rPr>
                <w:rFonts w:ascii="Arial" w:hAnsi="Arial" w:cs="Arial"/>
                <w:color w:val="262626"/>
                <w:sz w:val="16"/>
                <w:szCs w:val="16"/>
              </w:rPr>
              <w:t>, BSPP</w:t>
            </w:r>
            <w:r w:rsidRPr="003046E2">
              <w:rPr>
                <w:rFonts w:ascii="Arial" w:hAnsi="Arial" w:cs="Arial"/>
                <w:color w:val="FB0007"/>
                <w:sz w:val="16"/>
                <w:szCs w:val="16"/>
              </w:rPr>
              <w:t>*</w:t>
            </w:r>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 xml:space="preserve">Female </w:t>
            </w:r>
            <w:proofErr w:type="spellStart"/>
            <w:r w:rsidRPr="003046E2">
              <w:rPr>
                <w:rFonts w:ascii="Arial" w:hAnsi="Arial" w:cs="Arial"/>
                <w:color w:val="262626"/>
                <w:sz w:val="16"/>
                <w:szCs w:val="16"/>
              </w:rPr>
              <w:t>BSPTr</w:t>
            </w:r>
            <w:proofErr w:type="spellEnd"/>
            <w:r w:rsidRPr="003046E2">
              <w:rPr>
                <w:rFonts w:ascii="Arial" w:hAnsi="Arial" w:cs="Arial"/>
                <w:color w:val="262626"/>
                <w:sz w:val="16"/>
                <w:szCs w:val="16"/>
              </w:rPr>
              <w:t xml:space="preserve"> - </w:t>
            </w:r>
            <w:r w:rsidRPr="003046E2">
              <w:rPr>
                <w:rFonts w:ascii="Arial" w:hAnsi="Arial" w:cs="Arial"/>
                <w:i/>
                <w:iCs/>
                <w:color w:val="262626"/>
                <w:sz w:val="16"/>
                <w:szCs w:val="16"/>
              </w:rPr>
              <w:t>Male</w:t>
            </w:r>
            <w:r w:rsidRPr="003046E2">
              <w:rPr>
                <w:rFonts w:ascii="Arial" w:hAnsi="Arial" w:cs="Arial"/>
                <w:color w:val="262626"/>
                <w:sz w:val="16"/>
                <w:szCs w:val="16"/>
              </w:rPr>
              <w:t xml:space="preserve"> </w:t>
            </w:r>
            <w:proofErr w:type="spellStart"/>
            <w:r w:rsidRPr="003046E2">
              <w:rPr>
                <w:rFonts w:ascii="Arial" w:hAnsi="Arial" w:cs="Arial"/>
                <w:color w:val="262626"/>
                <w:sz w:val="16"/>
                <w:szCs w:val="16"/>
              </w:rPr>
              <w:t>BSPTr</w:t>
            </w:r>
            <w:proofErr w:type="spellEnd"/>
          </w:p>
          <w:p w:rsidR="003046E2" w:rsidRPr="003046E2" w:rsidRDefault="003046E2">
            <w:pPr>
              <w:widowControl w:val="0"/>
              <w:autoSpaceDE w:val="0"/>
              <w:autoSpaceDN w:val="0"/>
              <w:adjustRightInd w:val="0"/>
              <w:jc w:val="center"/>
              <w:rPr>
                <w:rFonts w:ascii="Arial" w:hAnsi="Arial" w:cs="Arial"/>
                <w:color w:val="262626"/>
                <w:sz w:val="16"/>
                <w:szCs w:val="16"/>
              </w:rPr>
            </w:pPr>
            <w:r w:rsidRPr="003046E2">
              <w:rPr>
                <w:rFonts w:ascii="Arial" w:hAnsi="Arial" w:cs="Arial"/>
                <w:color w:val="262626"/>
                <w:sz w:val="16"/>
                <w:szCs w:val="16"/>
              </w:rPr>
              <w:t>F-</w:t>
            </w:r>
            <w:proofErr w:type="spellStart"/>
            <w:r w:rsidRPr="003046E2">
              <w:rPr>
                <w:rFonts w:ascii="Arial" w:hAnsi="Arial" w:cs="Arial"/>
                <w:color w:val="262626"/>
                <w:sz w:val="16"/>
                <w:szCs w:val="16"/>
              </w:rPr>
              <w:t>BSPTr</w:t>
            </w:r>
            <w:proofErr w:type="spellEnd"/>
            <w:r w:rsidRPr="003046E2">
              <w:rPr>
                <w:rFonts w:ascii="Arial" w:hAnsi="Arial" w:cs="Arial"/>
                <w:color w:val="262626"/>
                <w:sz w:val="16"/>
                <w:szCs w:val="16"/>
              </w:rPr>
              <w:t xml:space="preserve"> not compatible /w M-BSPP</w:t>
            </w:r>
          </w:p>
        </w:tc>
      </w:tr>
      <w:tr w:rsidR="003046E2" w:rsidTr="003046E2">
        <w:tblPrEx>
          <w:tblCellMar>
            <w:top w:w="0" w:type="dxa"/>
            <w:bottom w:w="0" w:type="dxa"/>
          </w:tblCellMar>
        </w:tblPrEx>
        <w:tc>
          <w:tcPr>
            <w:tcW w:w="14960" w:type="dxa"/>
            <w:gridSpan w:val="4"/>
            <w:tcBorders>
              <w:top w:val="single" w:sz="8" w:space="0" w:color="262626"/>
              <w:left w:val="single" w:sz="8" w:space="0" w:color="262626"/>
              <w:bottom w:val="single" w:sz="8" w:space="0" w:color="262626"/>
              <w:right w:val="single" w:sz="8" w:space="0" w:color="262626"/>
            </w:tcBorders>
          </w:tcPr>
          <w:p w:rsidR="003046E2" w:rsidRPr="003046E2" w:rsidRDefault="003046E2">
            <w:pPr>
              <w:widowControl w:val="0"/>
              <w:autoSpaceDE w:val="0"/>
              <w:autoSpaceDN w:val="0"/>
              <w:adjustRightInd w:val="0"/>
              <w:spacing w:after="180"/>
              <w:rPr>
                <w:rFonts w:ascii="Arial" w:hAnsi="Arial" w:cs="Arial"/>
                <w:color w:val="262626"/>
                <w:sz w:val="16"/>
                <w:szCs w:val="16"/>
              </w:rPr>
            </w:pPr>
            <w:r w:rsidRPr="003046E2">
              <w:rPr>
                <w:rFonts w:ascii="Arial" w:hAnsi="Arial" w:cs="Arial"/>
                <w:color w:val="262626"/>
                <w:sz w:val="16"/>
                <w:szCs w:val="16"/>
              </w:rPr>
              <w:t xml:space="preserve">Numerous other thread standards may be encountered. In USA, larger cities or specific municipalities may use unique standards for municipal water and fire fighting services. Examples are New York City Fire Department Thread and Chicago Fire </w:t>
            </w:r>
            <w:r w:rsidRPr="003046E2">
              <w:rPr>
                <w:rFonts w:ascii="Arial" w:hAnsi="Arial" w:cs="Arial"/>
                <w:color w:val="262626"/>
                <w:sz w:val="16"/>
                <w:szCs w:val="16"/>
              </w:rPr>
              <w:t>Department</w:t>
            </w:r>
            <w:bookmarkStart w:id="0" w:name="_GoBack"/>
            <w:bookmarkEnd w:id="0"/>
            <w:r w:rsidRPr="003046E2">
              <w:rPr>
                <w:rFonts w:ascii="Arial" w:hAnsi="Arial" w:cs="Arial"/>
                <w:color w:val="262626"/>
                <w:sz w:val="16"/>
                <w:szCs w:val="16"/>
              </w:rPr>
              <w:t xml:space="preserve"> Thread. One reason for these unique threads may be to reduce occurrences of theft of hoses and accessories.</w:t>
            </w:r>
          </w:p>
          <w:p w:rsidR="003046E2" w:rsidRPr="003046E2" w:rsidRDefault="003046E2">
            <w:pPr>
              <w:widowControl w:val="0"/>
              <w:autoSpaceDE w:val="0"/>
              <w:autoSpaceDN w:val="0"/>
              <w:adjustRightInd w:val="0"/>
              <w:spacing w:after="180"/>
              <w:rPr>
                <w:rFonts w:ascii="Arial" w:hAnsi="Arial" w:cs="Arial"/>
                <w:color w:val="262626"/>
                <w:sz w:val="16"/>
                <w:szCs w:val="16"/>
              </w:rPr>
            </w:pPr>
            <w:r w:rsidRPr="003046E2">
              <w:rPr>
                <w:rFonts w:ascii="Arial" w:hAnsi="Arial" w:cs="Arial"/>
                <w:color w:val="262626"/>
                <w:sz w:val="16"/>
                <w:szCs w:val="16"/>
              </w:rPr>
              <w:t>Canada also has unique threads -- often by province. You may encounter CSA, BCT, QST, NFLD, NSST, WCT, etc. If you need to be compatible with your local fire department, you should determine what they use and what you would need to attach to their equipment.</w:t>
            </w:r>
          </w:p>
        </w:tc>
      </w:tr>
    </w:tbl>
    <w:p w:rsidR="003046E2" w:rsidRDefault="003046E2" w:rsidP="003046E2">
      <w:pPr>
        <w:widowControl w:val="0"/>
        <w:autoSpaceDE w:val="0"/>
        <w:autoSpaceDN w:val="0"/>
        <w:adjustRightInd w:val="0"/>
        <w:spacing w:after="180"/>
        <w:rPr>
          <w:rFonts w:ascii="Arial" w:hAnsi="Arial" w:cs="Arial"/>
          <w:color w:val="262626"/>
        </w:rPr>
      </w:pPr>
      <w:r>
        <w:rPr>
          <w:rFonts w:ascii="Arial" w:hAnsi="Arial" w:cs="Arial"/>
          <w:color w:val="262626"/>
        </w:rPr>
        <w:t> </w:t>
      </w:r>
    </w:p>
    <w:p w:rsidR="003046E2" w:rsidRDefault="003046E2" w:rsidP="003046E2">
      <w:pPr>
        <w:widowControl w:val="0"/>
        <w:autoSpaceDE w:val="0"/>
        <w:autoSpaceDN w:val="0"/>
        <w:adjustRightInd w:val="0"/>
        <w:spacing w:after="180"/>
        <w:rPr>
          <w:rFonts w:ascii="Arial" w:hAnsi="Arial" w:cs="Arial"/>
          <w:color w:val="262626"/>
        </w:rPr>
      </w:pPr>
      <w:r>
        <w:rPr>
          <w:rFonts w:ascii="Arial" w:hAnsi="Arial" w:cs="Arial"/>
          <w:color w:val="262626"/>
        </w:rPr>
        <w:t> </w:t>
      </w:r>
    </w:p>
    <w:p w:rsidR="003046E2" w:rsidRDefault="003046E2" w:rsidP="003046E2">
      <w:pPr>
        <w:widowControl w:val="0"/>
        <w:autoSpaceDE w:val="0"/>
        <w:autoSpaceDN w:val="0"/>
        <w:adjustRightInd w:val="0"/>
        <w:rPr>
          <w:rFonts w:ascii="Arial" w:hAnsi="Arial" w:cs="Arial"/>
          <w:color w:val="262626"/>
        </w:rPr>
      </w:pPr>
      <w:r>
        <w:rPr>
          <w:rFonts w:ascii="Arial" w:hAnsi="Arial" w:cs="Arial"/>
          <w:b/>
          <w:bCs/>
          <w:color w:val="FB0007"/>
          <w:sz w:val="32"/>
          <w:szCs w:val="32"/>
        </w:rPr>
        <w:t>                                      COMMONLY USED THREADS</w:t>
      </w:r>
    </w:p>
    <w:tbl>
      <w:tblPr>
        <w:tblW w:w="0" w:type="auto"/>
        <w:tblBorders>
          <w:top w:val="nil"/>
          <w:left w:val="nil"/>
          <w:right w:val="nil"/>
        </w:tblBorders>
        <w:tblLayout w:type="fixed"/>
        <w:tblLook w:val="0000" w:firstRow="0" w:lastRow="0" w:firstColumn="0" w:lastColumn="0" w:noHBand="0" w:noVBand="0"/>
      </w:tblPr>
      <w:tblGrid>
        <w:gridCol w:w="980"/>
        <w:gridCol w:w="1800"/>
        <w:gridCol w:w="1120"/>
        <w:gridCol w:w="1600"/>
        <w:gridCol w:w="1300"/>
        <w:gridCol w:w="1580"/>
        <w:gridCol w:w="1280"/>
        <w:gridCol w:w="1780"/>
        <w:gridCol w:w="1100"/>
      </w:tblGrid>
      <w:tr w:rsidR="003046E2" w:rsidTr="003046E2">
        <w:tblPrEx>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shd w:val="clear" w:color="auto" w:fill="89BFFF"/>
          </w:tcPr>
          <w:p w:rsidR="003046E2" w:rsidRDefault="003046E2">
            <w:pPr>
              <w:widowControl w:val="0"/>
              <w:autoSpaceDE w:val="0"/>
              <w:autoSpaceDN w:val="0"/>
              <w:adjustRightInd w:val="0"/>
              <w:spacing w:after="180"/>
              <w:jc w:val="center"/>
              <w:rPr>
                <w:rFonts w:ascii="Arial" w:hAnsi="Arial" w:cs="Arial"/>
                <w:color w:val="262626"/>
              </w:rPr>
            </w:pPr>
            <w:r>
              <w:rPr>
                <w:rFonts w:ascii="Arial" w:hAnsi="Arial" w:cs="Arial"/>
                <w:color w:val="262626"/>
              </w:rPr>
              <w:t> </w:t>
            </w:r>
          </w:p>
        </w:tc>
        <w:tc>
          <w:tcPr>
            <w:tcW w:w="2920" w:type="dxa"/>
            <w:gridSpan w:val="2"/>
            <w:tcBorders>
              <w:top w:val="single" w:sz="8" w:space="0" w:color="262626"/>
              <w:left w:val="single" w:sz="8" w:space="0" w:color="262626"/>
              <w:bottom w:val="single" w:sz="8" w:space="0" w:color="262626"/>
              <w:right w:val="single" w:sz="8" w:space="0" w:color="262626"/>
            </w:tcBorders>
            <w:shd w:val="clear" w:color="auto" w:fill="89BFFF"/>
          </w:tcPr>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National</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Standard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Thread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NH/NST</w:t>
            </w:r>
          </w:p>
        </w:tc>
        <w:tc>
          <w:tcPr>
            <w:tcW w:w="2900" w:type="dxa"/>
            <w:gridSpan w:val="2"/>
            <w:tcBorders>
              <w:top w:val="single" w:sz="8" w:space="0" w:color="262626"/>
              <w:left w:val="single" w:sz="8" w:space="0" w:color="262626"/>
              <w:bottom w:val="single" w:sz="8" w:space="0" w:color="262626"/>
              <w:right w:val="single" w:sz="8" w:space="0" w:color="262626"/>
            </w:tcBorders>
            <w:shd w:val="clear" w:color="auto" w:fill="89BFFF"/>
          </w:tcPr>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Straight</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Iron Pipe</w:t>
            </w:r>
          </w:p>
          <w:p w:rsidR="003046E2" w:rsidRDefault="003046E2">
            <w:pPr>
              <w:widowControl w:val="0"/>
              <w:autoSpaceDE w:val="0"/>
              <w:autoSpaceDN w:val="0"/>
              <w:adjustRightInd w:val="0"/>
              <w:jc w:val="center"/>
              <w:rPr>
                <w:rFonts w:ascii="Arial" w:hAnsi="Arial" w:cs="Arial"/>
                <w:color w:val="262626"/>
              </w:rPr>
            </w:pP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NPSH/IPT</w:t>
            </w:r>
          </w:p>
        </w:tc>
        <w:tc>
          <w:tcPr>
            <w:tcW w:w="2860" w:type="dxa"/>
            <w:gridSpan w:val="2"/>
            <w:tcBorders>
              <w:top w:val="single" w:sz="8" w:space="0" w:color="262626"/>
              <w:left w:val="single" w:sz="8" w:space="0" w:color="262626"/>
              <w:bottom w:val="single" w:sz="8" w:space="0" w:color="262626"/>
              <w:right w:val="single" w:sz="8" w:space="0" w:color="262626"/>
            </w:tcBorders>
            <w:shd w:val="clear" w:color="auto" w:fill="89BFFF"/>
          </w:tcPr>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Standard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Pipe</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Thread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NPT/TIPT</w:t>
            </w:r>
          </w:p>
        </w:tc>
        <w:tc>
          <w:tcPr>
            <w:tcW w:w="2880" w:type="dxa"/>
            <w:gridSpan w:val="2"/>
            <w:tcBorders>
              <w:top w:val="single" w:sz="8" w:space="0" w:color="262626"/>
              <w:left w:val="single" w:sz="8" w:space="0" w:color="262626"/>
              <w:bottom w:val="single" w:sz="8" w:space="0" w:color="262626"/>
              <w:right w:val="single" w:sz="8" w:space="0" w:color="262626"/>
            </w:tcBorders>
            <w:shd w:val="clear" w:color="auto" w:fill="89BFFF"/>
          </w:tcPr>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British</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Standard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lastRenderedPageBreak/>
              <w:t>Pipe Thread</w:t>
            </w:r>
          </w:p>
          <w:p w:rsidR="003046E2" w:rsidRDefault="003046E2">
            <w:pPr>
              <w:widowControl w:val="0"/>
              <w:autoSpaceDE w:val="0"/>
              <w:autoSpaceDN w:val="0"/>
              <w:adjustRightInd w:val="0"/>
              <w:jc w:val="center"/>
              <w:rPr>
                <w:rFonts w:ascii="Arial" w:hAnsi="Arial" w:cs="Arial"/>
                <w:color w:val="262626"/>
              </w:rPr>
            </w:pPr>
            <w:r>
              <w:rPr>
                <w:rFonts w:ascii="Arial" w:hAnsi="Arial" w:cs="Arial"/>
                <w:color w:val="262626"/>
              </w:rPr>
              <w:t>BSP</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lastRenderedPageBreak/>
              <w:t>Size</w:t>
            </w:r>
          </w:p>
        </w:tc>
        <w:tc>
          <w:tcPr>
            <w:tcW w:w="180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ODM</w:t>
            </w:r>
          </w:p>
        </w:tc>
        <w:tc>
          <w:tcPr>
            <w:tcW w:w="108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TPI</w:t>
            </w:r>
          </w:p>
        </w:tc>
        <w:tc>
          <w:tcPr>
            <w:tcW w:w="160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ODM</w:t>
            </w:r>
          </w:p>
        </w:tc>
        <w:tc>
          <w:tcPr>
            <w:tcW w:w="126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TPI</w:t>
            </w:r>
          </w:p>
        </w:tc>
        <w:tc>
          <w:tcPr>
            <w:tcW w:w="158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ODM</w:t>
            </w:r>
          </w:p>
        </w:tc>
        <w:tc>
          <w:tcPr>
            <w:tcW w:w="124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TPI</w:t>
            </w:r>
          </w:p>
        </w:tc>
        <w:tc>
          <w:tcPr>
            <w:tcW w:w="178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ODM</w:t>
            </w:r>
          </w:p>
        </w:tc>
        <w:tc>
          <w:tcPr>
            <w:tcW w:w="1060" w:type="dxa"/>
            <w:tcBorders>
              <w:top w:val="single" w:sz="8" w:space="0" w:color="262626"/>
              <w:left w:val="single" w:sz="8" w:space="0" w:color="262626"/>
              <w:bottom w:val="single" w:sz="8" w:space="0" w:color="262626"/>
              <w:right w:val="single" w:sz="8" w:space="0" w:color="262626"/>
            </w:tcBorders>
            <w:shd w:val="clear" w:color="auto" w:fill="C1C1C1"/>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TPI</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¾"</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1.375</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1.035</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14</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1.050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14</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1.375</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1.295</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1.315</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1.309</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1½"</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1.990</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9</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1.878</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1.900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2.515</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2.352</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2.375</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11.5</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1.882</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2½"</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3.068</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7.5</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2.841</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2.875</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3.623</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3.470</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3.500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2.960</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11</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3½"</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4.243</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3.970</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4.000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4.125</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5.010</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4.470</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4.500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4.625</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4½"</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5.760</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4.970</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5.000</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5.125</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r>
      <w:tr w:rsidR="003046E2">
        <w:tblPrEx>
          <w:tblBorders>
            <w:top w:val="none" w:sz="0" w:space="0" w:color="auto"/>
          </w:tblBorders>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6.260</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5.563</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5.625</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r>
      <w:tr w:rsidR="003046E2">
        <w:tblPrEx>
          <w:tblCellMar>
            <w:top w:w="0" w:type="dxa"/>
            <w:bottom w:w="0" w:type="dxa"/>
          </w:tblCellMar>
        </w:tblPrEx>
        <w:tc>
          <w:tcPr>
            <w:tcW w:w="9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w:t>
            </w:r>
          </w:p>
        </w:tc>
        <w:tc>
          <w:tcPr>
            <w:tcW w:w="18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7.025</w:t>
            </w:r>
          </w:p>
        </w:tc>
        <w:tc>
          <w:tcPr>
            <w:tcW w:w="10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4</w:t>
            </w:r>
          </w:p>
        </w:tc>
        <w:tc>
          <w:tcPr>
            <w:tcW w:w="160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2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 </w:t>
            </w:r>
          </w:p>
        </w:tc>
        <w:tc>
          <w:tcPr>
            <w:tcW w:w="15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6.625</w:t>
            </w:r>
          </w:p>
        </w:tc>
        <w:tc>
          <w:tcPr>
            <w:tcW w:w="124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8</w:t>
            </w:r>
          </w:p>
        </w:tc>
        <w:tc>
          <w:tcPr>
            <w:tcW w:w="178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6.625</w:t>
            </w:r>
          </w:p>
        </w:tc>
        <w:tc>
          <w:tcPr>
            <w:tcW w:w="1060" w:type="dxa"/>
            <w:tcBorders>
              <w:top w:val="single" w:sz="8" w:space="0" w:color="262626"/>
              <w:left w:val="single" w:sz="8" w:space="0" w:color="262626"/>
              <w:bottom w:val="single" w:sz="8" w:space="0" w:color="262626"/>
              <w:right w:val="single" w:sz="8" w:space="0" w:color="262626"/>
            </w:tcBorders>
          </w:tcPr>
          <w:p w:rsidR="003046E2" w:rsidRDefault="003046E2">
            <w:pPr>
              <w:widowControl w:val="0"/>
              <w:autoSpaceDE w:val="0"/>
              <w:autoSpaceDN w:val="0"/>
              <w:adjustRightInd w:val="0"/>
              <w:rPr>
                <w:rFonts w:ascii="Arial" w:hAnsi="Arial" w:cs="Arial"/>
                <w:color w:val="262626"/>
              </w:rPr>
            </w:pPr>
            <w:r>
              <w:rPr>
                <w:rFonts w:ascii="Arial" w:hAnsi="Arial" w:cs="Arial"/>
                <w:color w:val="262626"/>
              </w:rPr>
              <w:t>3</w:t>
            </w:r>
          </w:p>
        </w:tc>
      </w:tr>
    </w:tbl>
    <w:p w:rsidR="003046E2" w:rsidRDefault="003046E2" w:rsidP="003046E2">
      <w:pPr>
        <w:widowControl w:val="0"/>
        <w:autoSpaceDE w:val="0"/>
        <w:autoSpaceDN w:val="0"/>
        <w:adjustRightInd w:val="0"/>
        <w:rPr>
          <w:rFonts w:ascii="Arial" w:hAnsi="Arial" w:cs="Arial"/>
          <w:color w:val="262626"/>
        </w:rPr>
      </w:pPr>
      <w:r>
        <w:rPr>
          <w:rFonts w:ascii="Arial" w:hAnsi="Arial" w:cs="Arial"/>
          <w:color w:val="262626"/>
        </w:rPr>
        <w:t xml:space="preserve">            </w:t>
      </w:r>
      <w:r>
        <w:rPr>
          <w:rFonts w:ascii="Arial" w:hAnsi="Arial" w:cs="Arial"/>
          <w:b/>
          <w:bCs/>
          <w:color w:val="262626"/>
        </w:rPr>
        <w:t>Note:</w:t>
      </w:r>
    </w:p>
    <w:p w:rsidR="003046E2" w:rsidRDefault="003046E2" w:rsidP="003046E2">
      <w:pPr>
        <w:widowControl w:val="0"/>
        <w:autoSpaceDE w:val="0"/>
        <w:autoSpaceDN w:val="0"/>
        <w:adjustRightInd w:val="0"/>
        <w:rPr>
          <w:rFonts w:ascii="Arial" w:hAnsi="Arial" w:cs="Arial"/>
          <w:color w:val="262626"/>
        </w:rPr>
      </w:pPr>
      <w:r>
        <w:rPr>
          <w:rFonts w:ascii="Arial" w:hAnsi="Arial" w:cs="Arial"/>
          <w:color w:val="262626"/>
        </w:rPr>
        <w:t>                    Residential garden hose fittings are ¾" GHT with 1.0625" ODM x 11½ TPI</w:t>
      </w:r>
    </w:p>
    <w:p w:rsidR="003046E2" w:rsidRDefault="003046E2" w:rsidP="003046E2">
      <w:pPr>
        <w:widowControl w:val="0"/>
        <w:autoSpaceDE w:val="0"/>
        <w:autoSpaceDN w:val="0"/>
        <w:adjustRightInd w:val="0"/>
        <w:rPr>
          <w:rFonts w:ascii="Arial" w:hAnsi="Arial" w:cs="Arial"/>
          <w:color w:val="262626"/>
        </w:rPr>
      </w:pPr>
    </w:p>
    <w:p w:rsidR="003046E2" w:rsidRDefault="003046E2" w:rsidP="003046E2">
      <w:pPr>
        <w:widowControl w:val="0"/>
        <w:autoSpaceDE w:val="0"/>
        <w:autoSpaceDN w:val="0"/>
        <w:adjustRightInd w:val="0"/>
        <w:rPr>
          <w:rFonts w:ascii="Arial" w:hAnsi="Arial" w:cs="Arial"/>
          <w:color w:val="262626"/>
        </w:rPr>
      </w:pPr>
    </w:p>
    <w:p w:rsidR="003046E2" w:rsidRPr="003046E2" w:rsidRDefault="003046E2" w:rsidP="003046E2">
      <w:pPr>
        <w:rPr>
          <w:sz w:val="14"/>
          <w:szCs w:val="14"/>
        </w:rPr>
      </w:pPr>
      <w:r>
        <w:rPr>
          <w:rFonts w:ascii="Arial" w:hAnsi="Arial" w:cs="Arial"/>
          <w:color w:val="262626"/>
        </w:rPr>
        <w:t> </w:t>
      </w:r>
    </w:p>
    <w:sectPr w:rsidR="003046E2" w:rsidRPr="003046E2" w:rsidSect="003046E2">
      <w:pgSz w:w="15840" w:h="12240" w:orient="landscape"/>
      <w:pgMar w:top="432" w:right="432" w:bottom="432" w:left="432"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E2"/>
    <w:rsid w:val="001F3375"/>
    <w:rsid w:val="003046E2"/>
    <w:rsid w:val="00C41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FB3A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614</Words>
  <Characters>3504</Characters>
  <Application>Microsoft Macintosh Word</Application>
  <DocSecurity>0</DocSecurity>
  <Lines>29</Lines>
  <Paragraphs>8</Paragraphs>
  <ScaleCrop>false</ScaleCrop>
  <Company>Rawhide FireHose Corp.</Company>
  <LinksUpToDate>false</LinksUpToDate>
  <CharactersWithSpaces>4110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Eriksen</dc:creator>
  <cp:keywords/>
  <dc:description/>
  <cp:lastModifiedBy>Keith Eriksen</cp:lastModifiedBy>
  <cp:revision>1</cp:revision>
  <dcterms:created xsi:type="dcterms:W3CDTF">2013-06-13T21:07:00Z</dcterms:created>
  <dcterms:modified xsi:type="dcterms:W3CDTF">2013-06-13T21:12:00Z</dcterms:modified>
</cp:coreProperties>
</file>